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F04406">
      <w:pPr>
        <w:spacing w:line="360" w:lineRule="auto"/>
        <w:jc w:val="center"/>
        <w:rPr>
          <w:rFonts w:ascii="宋体" w:hAnsi="宋体"/>
          <w:color w:val="auto"/>
          <w:sz w:val="32"/>
          <w:szCs w:val="32"/>
        </w:rPr>
      </w:pPr>
      <w:r>
        <w:rPr>
          <w:rFonts w:hint="eastAsia" w:ascii="微软雅黑" w:hAnsi="微软雅黑"/>
          <w:b/>
          <w:sz w:val="32"/>
          <w:szCs w:val="32"/>
          <w:lang w:val="en-US" w:eastAsia="zh-CN"/>
        </w:rPr>
        <w:t>偏离</w:t>
      </w:r>
      <w:r>
        <w:rPr>
          <w:rFonts w:hint="eastAsia" w:ascii="宋体" w:hAnsi="宋体"/>
          <w:b/>
          <w:color w:val="auto"/>
          <w:sz w:val="32"/>
          <w:szCs w:val="32"/>
        </w:rPr>
        <w:t>方案报告</w:t>
      </w:r>
    </w:p>
    <w:tbl>
      <w:tblPr>
        <w:tblStyle w:val="6"/>
        <w:tblW w:w="9450" w:type="dxa"/>
        <w:tblInd w:w="-11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0"/>
        <w:gridCol w:w="3450"/>
        <w:gridCol w:w="1400"/>
        <w:gridCol w:w="2990"/>
      </w:tblGrid>
      <w:tr w14:paraId="5DB57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610" w:type="dxa"/>
            <w:vAlign w:val="center"/>
          </w:tcPr>
          <w:p w14:paraId="651BB70E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</w:rPr>
              <w:t>项目名称</w:t>
            </w:r>
          </w:p>
        </w:tc>
        <w:tc>
          <w:tcPr>
            <w:tcW w:w="7840" w:type="dxa"/>
            <w:gridSpan w:val="3"/>
            <w:vAlign w:val="center"/>
          </w:tcPr>
          <w:p w14:paraId="5051597F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 w14:paraId="00E791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610" w:type="dxa"/>
            <w:vAlign w:val="center"/>
          </w:tcPr>
          <w:p w14:paraId="2CA942C9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</w:rPr>
              <w:t>项目来源</w:t>
            </w:r>
          </w:p>
        </w:tc>
        <w:tc>
          <w:tcPr>
            <w:tcW w:w="3450" w:type="dxa"/>
            <w:vAlign w:val="center"/>
          </w:tcPr>
          <w:p w14:paraId="442C8223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400" w:type="dxa"/>
            <w:vAlign w:val="center"/>
          </w:tcPr>
          <w:p w14:paraId="48408546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lang w:eastAsia="zh-CN"/>
              </w:rPr>
              <w:t>专业科室</w:t>
            </w:r>
          </w:p>
        </w:tc>
        <w:tc>
          <w:tcPr>
            <w:tcW w:w="2990" w:type="dxa"/>
            <w:vAlign w:val="center"/>
          </w:tcPr>
          <w:p w14:paraId="0CF190D1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  <w:tr w14:paraId="68841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1610" w:type="dxa"/>
            <w:vAlign w:val="center"/>
          </w:tcPr>
          <w:p w14:paraId="05DFC999">
            <w:pPr>
              <w:spacing w:line="360" w:lineRule="auto"/>
              <w:jc w:val="center"/>
              <w:rPr>
                <w:rFonts w:hint="eastAsia" w:ascii="宋体" w:hAnsi="宋体" w:eastAsia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lang w:eastAsia="zh-CN"/>
              </w:rPr>
              <w:t>研究者</w:t>
            </w:r>
          </w:p>
        </w:tc>
        <w:tc>
          <w:tcPr>
            <w:tcW w:w="3450" w:type="dxa"/>
            <w:vAlign w:val="center"/>
          </w:tcPr>
          <w:p w14:paraId="359FA19C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400" w:type="dxa"/>
            <w:vAlign w:val="center"/>
          </w:tcPr>
          <w:p w14:paraId="213825FE">
            <w:pPr>
              <w:spacing w:line="360" w:lineRule="auto"/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lang w:val="en-US" w:eastAsia="zh-CN"/>
              </w:rPr>
              <w:t>联系电话</w:t>
            </w:r>
          </w:p>
        </w:tc>
        <w:tc>
          <w:tcPr>
            <w:tcW w:w="2990" w:type="dxa"/>
            <w:vAlign w:val="center"/>
          </w:tcPr>
          <w:p w14:paraId="17C78B36">
            <w:pPr>
              <w:spacing w:line="360" w:lineRule="auto"/>
              <w:jc w:val="center"/>
              <w:rPr>
                <w:rFonts w:ascii="宋体" w:hAnsi="宋体"/>
                <w:color w:val="auto"/>
                <w:sz w:val="24"/>
              </w:rPr>
            </w:pPr>
          </w:p>
        </w:tc>
      </w:tr>
    </w:tbl>
    <w:p w14:paraId="35B87277">
      <w:pPr>
        <w:rPr>
          <w:rFonts w:hint="eastAsia"/>
        </w:rPr>
      </w:pPr>
    </w:p>
    <w:tbl>
      <w:tblPr>
        <w:tblStyle w:val="7"/>
        <w:tblW w:w="9480" w:type="dxa"/>
        <w:tblInd w:w="-1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3"/>
        <w:gridCol w:w="2359"/>
        <w:gridCol w:w="1814"/>
        <w:gridCol w:w="2954"/>
      </w:tblGrid>
      <w:tr w14:paraId="65C6F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48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7184A30D">
            <w:pPr>
              <w:numPr>
                <w:ilvl w:val="0"/>
                <w:numId w:val="0"/>
              </w:numPr>
              <w:spacing w:after="0" w:line="276" w:lineRule="auto"/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一、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  <w:t>研究阶段</w:t>
            </w:r>
          </w:p>
        </w:tc>
      </w:tr>
      <w:tr w14:paraId="3118B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48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1DC9150B">
            <w:pPr>
              <w:adjustRightInd w:val="0"/>
              <w:snapToGrid w:val="0"/>
              <w:spacing w:line="440" w:lineRule="exact"/>
              <w:rPr>
                <w:rFonts w:hint="eastAsia"/>
              </w:rPr>
            </w:pPr>
            <w:r>
              <w:rPr>
                <w:rFonts w:hint="eastAsia"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  <w:t>□正在实施研究，□</w:t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4"/>
                <w:szCs w:val="24"/>
                <w:highlight w:val="none"/>
                <w:lang w:eastAsia="zh-CN"/>
              </w:rPr>
              <w:t>研究参与者</w:t>
            </w:r>
            <w:r>
              <w:rPr>
                <w:rFonts w:hint="eastAsia"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  <w:t>的试验干预已经完成，□后期数据处理阶段</w:t>
            </w:r>
          </w:p>
        </w:tc>
      </w:tr>
      <w:tr w14:paraId="66DBD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48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102501ED">
            <w:pPr>
              <w:numPr>
                <w:ilvl w:val="0"/>
                <w:numId w:val="0"/>
              </w:numPr>
              <w:spacing w:after="0" w:line="276" w:lineRule="auto"/>
              <w:ind w:left="0" w:leftChars="0" w:firstLine="0" w:firstLineChars="0"/>
              <w:jc w:val="both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二、偏离方案来源</w:t>
            </w:r>
          </w:p>
        </w:tc>
      </w:tr>
      <w:tr w14:paraId="3510F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48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5C182E2B">
            <w:pPr>
              <w:numPr>
                <w:ilvl w:val="0"/>
                <w:numId w:val="0"/>
              </w:numPr>
              <w:spacing w:after="0" w:line="276" w:lineRule="auto"/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1.研究参与者不依从报告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是，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否）</w:t>
            </w:r>
          </w:p>
        </w:tc>
      </w:tr>
      <w:tr w14:paraId="31DAA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48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784856B4">
            <w:pPr>
              <w:spacing w:after="0" w:line="276" w:lineRule="auto"/>
              <w:jc w:val="left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研究者偏离方案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是，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否）</w:t>
            </w:r>
          </w:p>
        </w:tc>
      </w:tr>
      <w:tr w14:paraId="3A788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48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23274D78">
            <w:pPr>
              <w:spacing w:after="0" w:line="276" w:lineRule="auto"/>
              <w:jc w:val="left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b w:val="0"/>
                <w:bCs/>
                <w:sz w:val="24"/>
                <w:lang w:val="en-US" w:eastAsia="zh-CN"/>
              </w:rPr>
              <w:t>其他：</w:t>
            </w:r>
          </w:p>
        </w:tc>
      </w:tr>
      <w:tr w14:paraId="02E1A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48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0981A610">
            <w:pPr>
              <w:spacing w:after="0" w:line="276" w:lineRule="auto"/>
              <w:jc w:val="left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4"/>
                <w:szCs w:val="24"/>
                <w:lang w:val="en-US" w:eastAsia="zh-CN"/>
              </w:rPr>
              <w:t>三、偏离方案的事件（请在以下事件中做出选择）</w:t>
            </w:r>
          </w:p>
        </w:tc>
      </w:tr>
      <w:tr w14:paraId="0C363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48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50389A2D">
            <w:pPr>
              <w:spacing w:after="0" w:line="276" w:lineRule="auto"/>
              <w:rPr>
                <w:rFonts w:hint="default" w:ascii="宋体" w:hAnsi="宋体" w:cs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研究参与者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接受错误治疗或不正确的剂量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Style w:val="9"/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例）</w:t>
            </w:r>
          </w:p>
        </w:tc>
      </w:tr>
      <w:tr w14:paraId="5D958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48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30772B9D">
            <w:pPr>
              <w:spacing w:after="0" w:line="276" w:lineRule="auto"/>
              <w:jc w:val="left"/>
              <w:rPr>
                <w:rFonts w:hint="eastAsia" w:ascii="宋体" w:hAnsi="宋体" w:cs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在试验过程中，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研究参与者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达到退出标准而未退出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Style w:val="9"/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例）</w:t>
            </w:r>
          </w:p>
        </w:tc>
      </w:tr>
      <w:tr w14:paraId="4499E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48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73CABE2D">
            <w:pPr>
              <w:spacing w:after="0" w:line="276" w:lineRule="auto"/>
              <w:jc w:val="left"/>
              <w:rPr>
                <w:rFonts w:hint="eastAsia" w:ascii="宋体" w:hAnsi="宋体" w:cs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研究参与者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使用了方案规定的禁止或合并用药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Style w:val="9"/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例）                             </w:t>
            </w:r>
          </w:p>
        </w:tc>
      </w:tr>
      <w:tr w14:paraId="6261E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48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43788E43">
            <w:pPr>
              <w:spacing w:after="0" w:line="276" w:lineRule="auto"/>
              <w:jc w:val="left"/>
              <w:rPr>
                <w:rFonts w:hint="eastAsia" w:ascii="宋体" w:hAnsi="宋体" w:cs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研究参与者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未按照方案用药要求暂停用药/重服药物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Style w:val="9"/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例） </w:t>
            </w:r>
          </w:p>
        </w:tc>
      </w:tr>
      <w:tr w14:paraId="33D53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48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6148AAB7">
            <w:pPr>
              <w:spacing w:after="0" w:line="276" w:lineRule="auto"/>
              <w:jc w:val="left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未按入排标准纳入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研究参与者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Style w:val="9"/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例）</w:t>
            </w:r>
          </w:p>
        </w:tc>
      </w:tr>
      <w:tr w14:paraId="53E90A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48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4279A30F">
            <w:pPr>
              <w:spacing w:after="0" w:line="276" w:lineRule="auto"/>
              <w:jc w:val="left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研究参与者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样本或试验数据丢失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Style w:val="9"/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例）   </w:t>
            </w:r>
          </w:p>
        </w:tc>
      </w:tr>
      <w:tr w14:paraId="672B8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48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045D9591">
            <w:pPr>
              <w:spacing w:after="0" w:line="276" w:lineRule="auto"/>
              <w:jc w:val="left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7.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未按照方案要求完成安全性指标/主要疗效指标/关键次要疗效指标相关检查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Style w:val="9"/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例）</w:t>
            </w:r>
          </w:p>
        </w:tc>
      </w:tr>
      <w:tr w14:paraId="6BF22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48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682679F3">
            <w:pPr>
              <w:spacing w:after="0" w:line="276" w:lineRule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8.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违反知情同意原则（未签署正确版本的知情同意、试验开始后补签知情、违反方案中的知情签署规定、知情同意过程不合规等）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Style w:val="9"/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例）</w:t>
            </w:r>
          </w:p>
        </w:tc>
      </w:tr>
      <w:tr w14:paraId="68793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48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215132D5">
            <w:pPr>
              <w:spacing w:after="0" w:line="276" w:lineRule="auto"/>
              <w:jc w:val="left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9.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未按知情同意书内容履行责任：赔偿、免费、补偿、保密等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Style w:val="9"/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例）  </w:t>
            </w:r>
          </w:p>
        </w:tc>
      </w:tr>
      <w:tr w14:paraId="53688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48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082F5DB0">
            <w:pPr>
              <w:spacing w:after="0" w:line="276" w:lineRule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10.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研究方案、知情同意书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等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予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研究参与者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材料等未经伦理委员会批准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Style w:val="9"/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例）                                    </w:t>
            </w:r>
          </w:p>
        </w:tc>
      </w:tr>
      <w:tr w14:paraId="22FCD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48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09E3335D">
            <w:pPr>
              <w:spacing w:after="0" w:line="276" w:lineRule="auto"/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11.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研究者在未经授权或没有相应的专业资质的情况下实施方案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Style w:val="9"/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例）  </w:t>
            </w:r>
          </w:p>
        </w:tc>
      </w:tr>
      <w:tr w14:paraId="0344C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48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67C84146">
            <w:pPr>
              <w:spacing w:after="0" w:line="276" w:lineRule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12.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试验药物/器械管理不当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Style w:val="9"/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例）</w:t>
            </w:r>
          </w:p>
        </w:tc>
      </w:tr>
      <w:tr w14:paraId="425CB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48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30B287E7">
            <w:pPr>
              <w:spacing w:after="0" w:line="276" w:lineRule="auto"/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13.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伪造研究和药物/器械记录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Style w:val="9"/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例）       </w:t>
            </w:r>
          </w:p>
        </w:tc>
      </w:tr>
      <w:tr w14:paraId="44225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48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693EF1B7">
            <w:pPr>
              <w:spacing w:after="0" w:line="276" w:lineRule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14.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访视/检查超窗或未完成（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Style w:val="9"/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例） </w:t>
            </w:r>
          </w:p>
        </w:tc>
      </w:tr>
      <w:tr w14:paraId="72D0F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48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6024736F">
            <w:pPr>
              <w:spacing w:after="0" w:line="276" w:lineRule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15.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药品短暂超温（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Style w:val="9"/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例）  </w:t>
            </w:r>
          </w:p>
        </w:tc>
      </w:tr>
      <w:tr w14:paraId="75177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948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2EE4EC7D">
            <w:pPr>
              <w:spacing w:after="0" w:line="276" w:lineRule="auto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16.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非主要及次要关键疗效的观察数据或评价缺失（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Style w:val="9"/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例） </w:t>
            </w:r>
          </w:p>
        </w:tc>
      </w:tr>
      <w:tr w14:paraId="6D941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48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06843423">
            <w:pPr>
              <w:spacing w:after="0" w:line="276" w:lineRule="auto"/>
              <w:jc w:val="left"/>
              <w:rPr>
                <w:rFonts w:hint="eastAsia" w:ascii="宋体" w:hAnsi="宋体" w:cs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17.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研究参与者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未及时服用药物/漏服药物（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Style w:val="9"/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例）                                    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 </w:t>
            </w:r>
          </w:p>
        </w:tc>
      </w:tr>
      <w:tr w14:paraId="75CDD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48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32DB1096">
            <w:pPr>
              <w:numPr>
                <w:ilvl w:val="0"/>
                <w:numId w:val="1"/>
              </w:numPr>
              <w:spacing w:after="0" w:line="276" w:lineRule="auto"/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其他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Style w:val="9"/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例） </w:t>
            </w:r>
          </w:p>
          <w:p w14:paraId="662EE06D">
            <w:pPr>
              <w:numPr>
                <w:ilvl w:val="0"/>
                <w:numId w:val="0"/>
              </w:numPr>
              <w:spacing w:after="0" w:line="276" w:lineRule="auto"/>
              <w:jc w:val="left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 w14:paraId="0773E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948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6961C221">
            <w:pPr>
              <w:spacing w:after="0" w:line="276" w:lineRule="auto"/>
              <w:jc w:val="left"/>
              <w:rPr>
                <w:rFonts w:hint="default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四、研究者评价偏离方案的类型（请对上述偏离方案的事件进行判断选择偏离方案所属类型）</w:t>
            </w:r>
          </w:p>
        </w:tc>
      </w:tr>
      <w:tr w14:paraId="6CCF3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48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21ACA3A6">
            <w:pPr>
              <w:spacing w:after="0" w:line="276" w:lineRule="auto"/>
              <w:jc w:val="left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1.为避免研究对研究参与者紧急危害，在伦理委员会同意前，研究者偏离方案：（□否，□是→具体见附表）</w:t>
            </w:r>
          </w:p>
        </w:tc>
      </w:tr>
      <w:tr w14:paraId="405AE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48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28CDDEA0">
            <w:pPr>
              <w:spacing w:after="0" w:line="276" w:lineRule="auto"/>
              <w:jc w:val="left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2.严重偏离（□否，□是→请选择）：</w:t>
            </w:r>
          </w:p>
        </w:tc>
      </w:tr>
      <w:tr w14:paraId="021F2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48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47B87200">
            <w:pPr>
              <w:spacing w:after="0" w:line="276" w:lineRule="auto"/>
              <w:jc w:val="left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2.1影响研究参与者安全（□否，□是</w:t>
            </w:r>
            <w:r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→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具体见附表）</w:t>
            </w:r>
          </w:p>
        </w:tc>
      </w:tr>
      <w:tr w14:paraId="64083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48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4B22AD37">
            <w:pPr>
              <w:spacing w:after="0" w:line="276" w:lineRule="auto"/>
              <w:jc w:val="left"/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2.2影响研究参与者权益（□否，□是</w:t>
            </w:r>
            <w:r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→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具体见附表）</w:t>
            </w:r>
          </w:p>
        </w:tc>
      </w:tr>
      <w:tr w14:paraId="37EFC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48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7638ED53">
            <w:pPr>
              <w:spacing w:after="0" w:line="276" w:lineRule="auto"/>
              <w:jc w:val="left"/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2.3增加研究参与者的风险（□否，□是</w:t>
            </w:r>
            <w:r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→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具体见附表）</w:t>
            </w:r>
          </w:p>
        </w:tc>
      </w:tr>
      <w:tr w14:paraId="063A1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48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04DEAD28">
            <w:pPr>
              <w:spacing w:after="0" w:line="276" w:lineRule="auto"/>
              <w:jc w:val="left"/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2.4影响研究的实施（□否，□是</w:t>
            </w:r>
            <w:r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→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具体见附表）</w:t>
            </w:r>
          </w:p>
        </w:tc>
      </w:tr>
      <w:tr w14:paraId="06A18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948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7B5DE63F">
            <w:pPr>
              <w:spacing w:after="0" w:line="276" w:lineRule="auto"/>
              <w:jc w:val="left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2.5影响试验收集数据的科学完整性（□否，□是</w:t>
            </w:r>
            <w:r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→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具体见附表）</w:t>
            </w:r>
          </w:p>
        </w:tc>
      </w:tr>
      <w:tr w14:paraId="6101E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948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09CC6F01">
            <w:pPr>
              <w:spacing w:after="0" w:line="276" w:lineRule="auto"/>
              <w:jc w:val="left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2.6违反伦理原则（□否，□是</w:t>
            </w:r>
            <w:r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→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具体见附表）</w:t>
            </w:r>
          </w:p>
        </w:tc>
      </w:tr>
      <w:tr w14:paraId="7E226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948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379E51E5">
            <w:pPr>
              <w:spacing w:after="0" w:line="276" w:lineRule="auto"/>
              <w:jc w:val="left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2.7严重或持续性违反GCP和适用的法律法规（□否，□是</w:t>
            </w:r>
            <w:r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→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具体见附表）</w:t>
            </w:r>
          </w:p>
        </w:tc>
      </w:tr>
      <w:tr w14:paraId="3739F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9480" w:type="dxa"/>
            <w:gridSpan w:val="4"/>
            <w:noWrap w:val="0"/>
            <w:vAlign w:val="center"/>
          </w:tcPr>
          <w:p w14:paraId="67424D6F">
            <w:pPr>
              <w:spacing w:after="0" w:line="276" w:lineRule="auto"/>
              <w:jc w:val="left"/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3.轻度偏离（□否，□是</w:t>
            </w:r>
            <w:r>
              <w:rPr>
                <w:rFonts w:hint="default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→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具体见附表）</w:t>
            </w:r>
          </w:p>
        </w:tc>
      </w:tr>
      <w:tr w14:paraId="0DFE1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480" w:type="dxa"/>
            <w:gridSpan w:val="4"/>
            <w:noWrap w:val="0"/>
            <w:vAlign w:val="center"/>
          </w:tcPr>
          <w:p w14:paraId="7894B097">
            <w:pPr>
              <w:spacing w:after="0" w:line="276" w:lineRule="auto"/>
              <w:jc w:val="left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4"/>
                <w:szCs w:val="24"/>
                <w:lang w:val="en-US" w:eastAsia="zh-CN"/>
              </w:rPr>
              <w:t>五、偏离方案发生的例数</w:t>
            </w:r>
          </w:p>
        </w:tc>
      </w:tr>
      <w:tr w14:paraId="6BFAF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9480" w:type="dxa"/>
            <w:gridSpan w:val="4"/>
            <w:noWrap w:val="0"/>
            <w:vAlign w:val="center"/>
          </w:tcPr>
          <w:p w14:paraId="16A082C5">
            <w:pPr>
              <w:spacing w:after="0" w:line="276" w:lineRule="auto"/>
              <w:jc w:val="left"/>
              <w:rPr>
                <w:rFonts w:hint="eastAsia" w:ascii="宋体" w:hAnsi="宋体" w:cs="宋体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自研究启动至今，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严重偏离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Style w:val="9"/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例）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轻度偏离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Style w:val="9"/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例）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与本次报告内容一样的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偏离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事件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 </w:t>
            </w:r>
          </w:p>
        </w:tc>
      </w:tr>
      <w:tr w14:paraId="7742B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9480" w:type="dxa"/>
            <w:gridSpan w:val="4"/>
            <w:noWrap w:val="0"/>
            <w:vAlign w:val="center"/>
          </w:tcPr>
          <w:p w14:paraId="668C47D8">
            <w:pPr>
              <w:numPr>
                <w:ilvl w:val="0"/>
                <w:numId w:val="2"/>
              </w:numPr>
              <w:spacing w:after="0" w:line="276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反复发生同类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偏离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的原因</w:t>
            </w:r>
          </w:p>
          <w:p w14:paraId="02991812">
            <w:pPr>
              <w:widowControl w:val="0"/>
              <w:numPr>
                <w:ilvl w:val="0"/>
                <w:numId w:val="0"/>
              </w:numPr>
              <w:spacing w:after="0" w:line="276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75DF9863">
            <w:pPr>
              <w:widowControl w:val="0"/>
              <w:numPr>
                <w:ilvl w:val="0"/>
                <w:numId w:val="0"/>
              </w:numPr>
              <w:spacing w:after="0" w:line="276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3631D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2353" w:type="dxa"/>
            <w:noWrap w:val="0"/>
            <w:vAlign w:val="center"/>
          </w:tcPr>
          <w:p w14:paraId="48A915F0">
            <w:pPr>
              <w:spacing w:after="0" w:line="27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主要研究者签字</w:t>
            </w:r>
          </w:p>
        </w:tc>
        <w:tc>
          <w:tcPr>
            <w:tcW w:w="2359" w:type="dxa"/>
            <w:noWrap w:val="0"/>
            <w:vAlign w:val="center"/>
          </w:tcPr>
          <w:p w14:paraId="358C45DA">
            <w:pPr>
              <w:spacing w:after="0" w:line="276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14" w:type="dxa"/>
            <w:noWrap w:val="0"/>
            <w:vAlign w:val="center"/>
          </w:tcPr>
          <w:p w14:paraId="2AF9EBD5">
            <w:pPr>
              <w:spacing w:after="0" w:line="276" w:lineRule="auto"/>
              <w:jc w:val="center"/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日期</w:t>
            </w:r>
          </w:p>
        </w:tc>
        <w:tc>
          <w:tcPr>
            <w:tcW w:w="2954" w:type="dxa"/>
            <w:noWrap w:val="0"/>
            <w:vAlign w:val="center"/>
          </w:tcPr>
          <w:p w14:paraId="1AE905AE">
            <w:pPr>
              <w:spacing w:after="0" w:line="276" w:lineRule="auto"/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</w:pPr>
          </w:p>
        </w:tc>
      </w:tr>
    </w:tbl>
    <w:p w14:paraId="027F1A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80" w:leftChars="160" w:firstLine="0" w:firstLineChars="0"/>
        <w:textAlignment w:val="auto"/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注：“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”请标注为“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sym w:font="Wingdings 2" w:char="0051"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”。</w:t>
      </w:r>
      <w:bookmarkStart w:id="0" w:name="_GoBack"/>
      <w:bookmarkEnd w:id="0"/>
    </w:p>
    <w:sectPr>
      <w:headerReference r:id="rId3" w:type="default"/>
      <w:footerReference r:id="rId4" w:type="default"/>
      <w:pgSz w:w="11850" w:h="16783"/>
      <w:pgMar w:top="1417" w:right="1417" w:bottom="1417" w:left="1417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149D17">
    <w:pPr>
      <w:pStyle w:val="4"/>
      <w:rPr>
        <w:rFonts w:hint="eastAsia" w:asciiTheme="minorEastAsia" w:hAnsiTheme="minorEastAsia" w:eastAsiaTheme="minorEastAsia" w:cstheme="minorEastAsia"/>
        <w:sz w:val="21"/>
        <w:szCs w:val="21"/>
        <w:lang w:val="en-US"/>
      </w:rPr>
    </w:pPr>
    <w:r>
      <w:rPr>
        <w:rFonts w:hint="eastAsia" w:asciiTheme="minorEastAsia" w:hAnsiTheme="minorEastAsia" w:eastAsiaTheme="minorEastAsia" w:cstheme="minorEastAsia"/>
        <w:kern w:val="2"/>
        <w:sz w:val="21"/>
        <w:szCs w:val="21"/>
        <w:lang w:val="en-US" w:eastAsia="zh-CN" w:bidi="ar-SA"/>
      </w:rPr>
      <w:pict>
        <v:shape id="Quad Arrow 2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67353A30">
                <w:pPr>
                  <w:snapToGrid w:val="0"/>
                  <w:rPr>
                    <w:rFonts w:hint="eastAsia" w:asciiTheme="minorEastAsia" w:hAnsiTheme="minorEastAsia" w:eastAsiaTheme="minorEastAsia" w:cstheme="minorEastAsia"/>
                    <w:sz w:val="21"/>
                    <w:szCs w:val="21"/>
                  </w:rPr>
                </w:pPr>
                <w:r>
                  <w:rPr>
                    <w:rFonts w:hint="eastAsia" w:asciiTheme="minorEastAsia" w:hAnsiTheme="minorEastAsia" w:eastAsiaTheme="minorEastAsia" w:cstheme="minor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 w:asciiTheme="minorEastAsia" w:hAnsiTheme="minorEastAsia" w:eastAsiaTheme="minorEastAsia" w:cstheme="minorEastAsia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hint="eastAsia" w:asciiTheme="minorEastAsia" w:hAnsiTheme="minorEastAsia" w:eastAsiaTheme="minorEastAsia" w:cstheme="minorEastAsia"/>
                    <w:sz w:val="21"/>
                    <w:szCs w:val="21"/>
                  </w:rPr>
                  <w:fldChar w:fldCharType="separate"/>
                </w:r>
                <w:r>
                  <w:rPr>
                    <w:rFonts w:hint="eastAsia" w:asciiTheme="minorEastAsia" w:hAnsiTheme="minorEastAsia" w:eastAsiaTheme="minorEastAsia" w:cstheme="minorEastAsia"/>
                    <w:sz w:val="21"/>
                    <w:szCs w:val="21"/>
                  </w:rPr>
                  <w:t>1</w:t>
                </w:r>
                <w:r>
                  <w:rPr>
                    <w:rFonts w:hint="eastAsia" w:asciiTheme="minorEastAsia" w:hAnsiTheme="minorEastAsia" w:eastAsiaTheme="minorEastAsia" w:cstheme="minorEastAsia"/>
                    <w:sz w:val="21"/>
                    <w:szCs w:val="21"/>
                  </w:rPr>
                  <w:fldChar w:fldCharType="end"/>
                </w:r>
                <w:r>
                  <w:rPr>
                    <w:rFonts w:hint="eastAsia" w:asciiTheme="minorEastAsia" w:hAnsiTheme="minorEastAsia" w:eastAsiaTheme="minorEastAsia" w:cstheme="minorEastAsia"/>
                    <w:sz w:val="21"/>
                    <w:szCs w:val="21"/>
                  </w:rPr>
                  <w:t xml:space="preserve"> / </w:t>
                </w:r>
                <w:r>
                  <w:rPr>
                    <w:rFonts w:hint="eastAsia" w:asciiTheme="minorEastAsia" w:hAnsiTheme="minorEastAsia" w:eastAsiaTheme="minorEastAsia" w:cstheme="minorEastAsia"/>
                    <w:sz w:val="21"/>
                    <w:szCs w:val="21"/>
                  </w:rPr>
                  <w:fldChar w:fldCharType="begin"/>
                </w:r>
                <w:r>
                  <w:rPr>
                    <w:rFonts w:hint="eastAsia" w:asciiTheme="minorEastAsia" w:hAnsiTheme="minorEastAsia" w:eastAsiaTheme="minorEastAsia" w:cstheme="minorEastAsia"/>
                    <w:sz w:val="21"/>
                    <w:szCs w:val="21"/>
                  </w:rPr>
                  <w:instrText xml:space="preserve"> NUMPAGES  \* MERGEFORMAT </w:instrText>
                </w:r>
                <w:r>
                  <w:rPr>
                    <w:rFonts w:hint="eastAsia" w:asciiTheme="minorEastAsia" w:hAnsiTheme="minorEastAsia" w:eastAsiaTheme="minorEastAsia" w:cstheme="minorEastAsia"/>
                    <w:sz w:val="21"/>
                    <w:szCs w:val="21"/>
                  </w:rPr>
                  <w:fldChar w:fldCharType="separate"/>
                </w:r>
                <w:r>
                  <w:rPr>
                    <w:rFonts w:hint="eastAsia" w:asciiTheme="minorEastAsia" w:hAnsiTheme="minorEastAsia" w:eastAsiaTheme="minorEastAsia" w:cstheme="minorEastAsia"/>
                    <w:sz w:val="21"/>
                    <w:szCs w:val="21"/>
                  </w:rPr>
                  <w:t>2</w:t>
                </w:r>
                <w:r>
                  <w:rPr>
                    <w:rFonts w:hint="eastAsia" w:asciiTheme="minorEastAsia" w:hAnsiTheme="minorEastAsia" w:eastAsiaTheme="minorEastAsia" w:cstheme="minorEastAsia"/>
                    <w:sz w:val="21"/>
                    <w:szCs w:val="21"/>
                  </w:rPr>
                  <w:fldChar w:fldCharType="end"/>
                </w:r>
              </w:p>
            </w:txbxContent>
          </v:textbox>
        </v:shape>
      </w:pict>
    </w:r>
    <w:r>
      <w:rPr>
        <w:rFonts w:hint="eastAsia" w:asciiTheme="minorEastAsia" w:hAnsiTheme="minorEastAsia" w:eastAsiaTheme="minorEastAsia" w:cstheme="minorEastAsia"/>
        <w:sz w:val="21"/>
        <w:szCs w:val="21"/>
        <w:lang w:val="en-US" w:eastAsia="zh-CN"/>
      </w:rPr>
      <w:t>启用日期：2025年9月8日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350943">
    <w:pPr>
      <w:pStyle w:val="5"/>
      <w:pBdr>
        <w:bottom w:val="single" w:color="auto" w:sz="4" w:space="1"/>
      </w:pBdr>
      <w:jc w:val="right"/>
      <w:rPr>
        <w:rFonts w:hint="eastAsia" w:ascii="宋体" w:hAnsi="宋体"/>
        <w:sz w:val="21"/>
        <w:szCs w:val="21"/>
      </w:rPr>
    </w:pPr>
    <w:r>
      <w:rPr>
        <w:rFonts w:hint="eastAsia" w:ascii="宋体" w:hAnsi="宋体"/>
        <w:sz w:val="21"/>
        <w:szCs w:val="21"/>
      </w:rPr>
      <w:t xml:space="preserve">       </w:t>
    </w:r>
    <w:r>
      <w:rPr>
        <w:rFonts w:hint="eastAsia" w:ascii="宋体" w:hAnsi="宋体"/>
        <w:sz w:val="21"/>
        <w:szCs w:val="21"/>
        <w:lang w:val="en-US" w:eastAsia="zh-CN"/>
      </w:rPr>
      <w:t xml:space="preserve">                                                           </w:t>
    </w:r>
    <w:r>
      <w:rPr>
        <w:rFonts w:hint="eastAsia" w:ascii="宋体" w:hAnsi="宋体"/>
        <w:sz w:val="21"/>
        <w:szCs w:val="21"/>
      </w:rPr>
      <w:t xml:space="preserve"> </w:t>
    </w:r>
  </w:p>
  <w:p w14:paraId="15DA7032">
    <w:pPr>
      <w:pStyle w:val="5"/>
      <w:pBdr>
        <w:bottom w:val="single" w:color="auto" w:sz="4" w:space="1"/>
      </w:pBdr>
      <w:jc w:val="both"/>
      <w:rPr>
        <w:rFonts w:ascii="宋体" w:hAnsi="宋体"/>
        <w:sz w:val="21"/>
        <w:szCs w:val="21"/>
      </w:rPr>
    </w:pPr>
    <w:r>
      <w:rPr>
        <w:rFonts w:hint="eastAsia" w:ascii="宋体" w:hAnsi="宋体"/>
        <w:sz w:val="21"/>
        <w:szCs w:val="21"/>
        <w:lang w:val="en-US" w:eastAsia="zh-CN"/>
      </w:rPr>
      <w:t>偏离方案报告                                                         EC-</w:t>
    </w:r>
    <w:r>
      <w:rPr>
        <w:rFonts w:hint="eastAsia" w:ascii="宋体" w:hAnsi="宋体"/>
        <w:sz w:val="21"/>
        <w:szCs w:val="21"/>
      </w:rPr>
      <w:t>AF-</w:t>
    </w:r>
    <w:r>
      <w:rPr>
        <w:rFonts w:hint="eastAsia" w:ascii="宋体" w:hAnsi="宋体"/>
        <w:sz w:val="21"/>
        <w:szCs w:val="21"/>
        <w:lang w:val="en-US" w:eastAsia="zh-CN"/>
      </w:rPr>
      <w:t>01.06</w:t>
    </w:r>
    <w:r>
      <w:rPr>
        <w:rFonts w:hint="eastAsia" w:ascii="宋体" w:hAnsi="宋体"/>
        <w:sz w:val="21"/>
        <w:szCs w:val="21"/>
      </w:rPr>
      <w:t>-</w:t>
    </w:r>
    <w:r>
      <w:rPr>
        <w:rFonts w:hint="eastAsia" w:ascii="宋体" w:hAnsi="宋体"/>
        <w:sz w:val="21"/>
        <w:szCs w:val="21"/>
        <w:lang w:val="en-US" w:eastAsia="zh-CN"/>
      </w:rPr>
      <w:t>04.2</w:t>
    </w:r>
    <w:r>
      <w:rPr>
        <w:rFonts w:hint="eastAsia" w:ascii="宋体" w:hAnsi="宋体"/>
        <w:sz w:val="21"/>
        <w:szCs w:val="21"/>
      </w:rPr>
      <w:t xml:space="preserve">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39CD00"/>
    <w:multiLevelType w:val="singleLevel"/>
    <w:tmpl w:val="1E39CD0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1D113C7"/>
    <w:multiLevelType w:val="singleLevel"/>
    <w:tmpl w:val="51D113C7"/>
    <w:lvl w:ilvl="0" w:tentative="0">
      <w:start w:val="1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EwNTM5NzYwMDRjMzkwZTVkZjY2ODkwMGIxNGU0OTUifQ=="/>
  </w:docVars>
  <w:rsids>
    <w:rsidRoot w:val="19C46DBF"/>
    <w:rsid w:val="000E08A8"/>
    <w:rsid w:val="00145879"/>
    <w:rsid w:val="00194E4D"/>
    <w:rsid w:val="001A3406"/>
    <w:rsid w:val="001E1362"/>
    <w:rsid w:val="001E59DE"/>
    <w:rsid w:val="001F2846"/>
    <w:rsid w:val="001F3EBD"/>
    <w:rsid w:val="002147C8"/>
    <w:rsid w:val="00262DD5"/>
    <w:rsid w:val="002A5333"/>
    <w:rsid w:val="002E0E0D"/>
    <w:rsid w:val="00312BAF"/>
    <w:rsid w:val="003345CB"/>
    <w:rsid w:val="003D4183"/>
    <w:rsid w:val="00471010"/>
    <w:rsid w:val="004B1A3E"/>
    <w:rsid w:val="004F2EDD"/>
    <w:rsid w:val="006014C8"/>
    <w:rsid w:val="00654D34"/>
    <w:rsid w:val="006A50CA"/>
    <w:rsid w:val="00762D6E"/>
    <w:rsid w:val="00764343"/>
    <w:rsid w:val="007F1A71"/>
    <w:rsid w:val="007F3B72"/>
    <w:rsid w:val="00886344"/>
    <w:rsid w:val="008E2FB9"/>
    <w:rsid w:val="00947488"/>
    <w:rsid w:val="009B6E89"/>
    <w:rsid w:val="00A209EE"/>
    <w:rsid w:val="00A6265C"/>
    <w:rsid w:val="00A91802"/>
    <w:rsid w:val="00B219A4"/>
    <w:rsid w:val="00B26A48"/>
    <w:rsid w:val="00BB440C"/>
    <w:rsid w:val="00C809CE"/>
    <w:rsid w:val="00C84E68"/>
    <w:rsid w:val="00D307D9"/>
    <w:rsid w:val="00DA2A30"/>
    <w:rsid w:val="00E31599"/>
    <w:rsid w:val="00E55F55"/>
    <w:rsid w:val="00E63D54"/>
    <w:rsid w:val="00E735CB"/>
    <w:rsid w:val="00E81D06"/>
    <w:rsid w:val="00E910D1"/>
    <w:rsid w:val="00F0290C"/>
    <w:rsid w:val="00F2765D"/>
    <w:rsid w:val="00F64C37"/>
    <w:rsid w:val="00FD7148"/>
    <w:rsid w:val="02561064"/>
    <w:rsid w:val="02691665"/>
    <w:rsid w:val="0270081C"/>
    <w:rsid w:val="02D42D05"/>
    <w:rsid w:val="02F31DC3"/>
    <w:rsid w:val="05F64650"/>
    <w:rsid w:val="089173AE"/>
    <w:rsid w:val="08DE0C0F"/>
    <w:rsid w:val="0A5B092F"/>
    <w:rsid w:val="0E3F4A5C"/>
    <w:rsid w:val="13ED7CC9"/>
    <w:rsid w:val="14133B0E"/>
    <w:rsid w:val="165860A4"/>
    <w:rsid w:val="186648EB"/>
    <w:rsid w:val="190A4276"/>
    <w:rsid w:val="19392689"/>
    <w:rsid w:val="19C46DBF"/>
    <w:rsid w:val="1B99222E"/>
    <w:rsid w:val="20F704ED"/>
    <w:rsid w:val="21407E50"/>
    <w:rsid w:val="2178014E"/>
    <w:rsid w:val="23D34643"/>
    <w:rsid w:val="25E04B3D"/>
    <w:rsid w:val="27D00E09"/>
    <w:rsid w:val="29885D61"/>
    <w:rsid w:val="2B4C1E16"/>
    <w:rsid w:val="2EFF5EFF"/>
    <w:rsid w:val="32731F5B"/>
    <w:rsid w:val="335A77FE"/>
    <w:rsid w:val="35462093"/>
    <w:rsid w:val="358C196E"/>
    <w:rsid w:val="388A4521"/>
    <w:rsid w:val="3DA939C4"/>
    <w:rsid w:val="42362FFB"/>
    <w:rsid w:val="43A45C2B"/>
    <w:rsid w:val="443C17FF"/>
    <w:rsid w:val="463549F5"/>
    <w:rsid w:val="475F2200"/>
    <w:rsid w:val="48D85F7C"/>
    <w:rsid w:val="49273438"/>
    <w:rsid w:val="499D18AD"/>
    <w:rsid w:val="4AC5582F"/>
    <w:rsid w:val="4AE938D4"/>
    <w:rsid w:val="4B5445D4"/>
    <w:rsid w:val="4BC3317A"/>
    <w:rsid w:val="4BF11154"/>
    <w:rsid w:val="4C3C6C2B"/>
    <w:rsid w:val="4DE52CA8"/>
    <w:rsid w:val="53824774"/>
    <w:rsid w:val="53C63B5F"/>
    <w:rsid w:val="53CD4BFF"/>
    <w:rsid w:val="56D646F4"/>
    <w:rsid w:val="583D632F"/>
    <w:rsid w:val="585A609A"/>
    <w:rsid w:val="587326B2"/>
    <w:rsid w:val="59650122"/>
    <w:rsid w:val="61D31C67"/>
    <w:rsid w:val="64C743D3"/>
    <w:rsid w:val="67C04C1B"/>
    <w:rsid w:val="6C997089"/>
    <w:rsid w:val="6CCD7961"/>
    <w:rsid w:val="6E0F225F"/>
    <w:rsid w:val="6FA31587"/>
    <w:rsid w:val="73163769"/>
    <w:rsid w:val="73743AB1"/>
    <w:rsid w:val="750871F8"/>
    <w:rsid w:val="7A7500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0"/>
    <w:pPr>
      <w:spacing w:after="120"/>
    </w:pPr>
  </w:style>
  <w:style w:type="paragraph" w:styleId="3">
    <w:name w:val="toc 5"/>
    <w:basedOn w:val="1"/>
    <w:next w:val="1"/>
    <w:qFormat/>
    <w:uiPriority w:val="0"/>
    <w:pPr>
      <w:ind w:left="1680" w:leftChars="800"/>
    </w:pPr>
    <w:rPr>
      <w:rFonts w:ascii="Calibri" w:hAnsi="Calibri" w:eastAsia="宋体" w:cs="Times New Roma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laceholder Text"/>
    <w:basedOn w:val="8"/>
    <w:semiHidden/>
    <w:qFormat/>
    <w:uiPriority w:val="99"/>
    <w:rPr>
      <w:color w:val="808080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1005</Words>
  <Characters>1053</Characters>
  <Lines>5</Lines>
  <Paragraphs>1</Paragraphs>
  <TotalTime>16</TotalTime>
  <ScaleCrop>false</ScaleCrop>
  <LinksUpToDate>false</LinksUpToDate>
  <CharactersWithSpaces>1245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2016-05-24T00:53:00Z</dcterms:created>
  <dc:creator>Administrator</dc:creator>
  <cp:lastModifiedBy>majunjun</cp:lastModifiedBy>
  <cp:lastPrinted>2020-02-03T03:40:00Z</cp:lastPrinted>
  <dcterms:modified xsi:type="dcterms:W3CDTF">2025-09-03T07:24:29Z</dcterms:modified>
  <dc:title>违背方案报告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73B3C54D4B034D5DB1419A4924DAB6C7</vt:lpwstr>
  </property>
  <property fmtid="{D5CDD505-2E9C-101B-9397-08002B2CF9AE}" pid="4" name="KSOTemplateDocerSaveRecord">
    <vt:lpwstr>eyJoZGlkIjoiYWRkMzNmMzcxZmQ2ZDE0NGFkN2VhM2Y5ZDUwZjI2OWIiLCJ1c2VySWQiOiIyNTU1MjkyODIifQ==</vt:lpwstr>
  </property>
</Properties>
</file>