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126AA">
      <w:pPr>
        <w:adjustRightInd w:val="0"/>
        <w:snapToGrid w:val="0"/>
        <w:jc w:val="center"/>
        <w:rPr>
          <w:rFonts w:asciiTheme="minorEastAsia" w:hAnsiTheme="minorEastAsia" w:eastAsiaTheme="minorEastAsia" w:cstheme="minorEastAsia"/>
          <w:b w:val="0"/>
          <w:bCs w:val="0"/>
          <w:sz w:val="32"/>
          <w:szCs w:val="32"/>
        </w:rPr>
      </w:pPr>
    </w:p>
    <w:p w14:paraId="1D012E3B">
      <w:pPr>
        <w:spacing w:line="37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安全性</w:t>
      </w:r>
      <w:r>
        <w:rPr>
          <w:rFonts w:hint="eastAsia" w:ascii="宋体" w:hAnsi="宋体"/>
          <w:b/>
          <w:sz w:val="32"/>
          <w:szCs w:val="32"/>
        </w:rPr>
        <w:t>报告</w:t>
      </w:r>
    </w:p>
    <w:tbl>
      <w:tblPr>
        <w:tblStyle w:val="4"/>
        <w:tblpPr w:leftFromText="180" w:rightFromText="180" w:vertAnchor="text" w:horzAnchor="page" w:tblpX="1269" w:tblpY="77"/>
        <w:tblOverlap w:val="never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604"/>
        <w:gridCol w:w="3906"/>
        <w:gridCol w:w="5"/>
        <w:gridCol w:w="1225"/>
        <w:gridCol w:w="2830"/>
      </w:tblGrid>
      <w:tr w14:paraId="6F68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45" w:hRule="atLeast"/>
        </w:trPr>
        <w:tc>
          <w:tcPr>
            <w:tcW w:w="1604" w:type="dxa"/>
            <w:vAlign w:val="center"/>
          </w:tcPr>
          <w:p w14:paraId="62998705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966" w:type="dxa"/>
            <w:gridSpan w:val="4"/>
            <w:vAlign w:val="center"/>
          </w:tcPr>
          <w:p w14:paraId="2165AC79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676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75" w:hRule="atLeast"/>
        </w:trPr>
        <w:tc>
          <w:tcPr>
            <w:tcW w:w="1604" w:type="dxa"/>
            <w:vAlign w:val="center"/>
          </w:tcPr>
          <w:p w14:paraId="568F2B9E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911" w:type="dxa"/>
            <w:gridSpan w:val="2"/>
            <w:vAlign w:val="center"/>
          </w:tcPr>
          <w:p w14:paraId="203A8E1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3EB329B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830" w:type="dxa"/>
            <w:vAlign w:val="center"/>
          </w:tcPr>
          <w:p w14:paraId="3A07E68E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C90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67" w:hRule="atLeast"/>
        </w:trPr>
        <w:tc>
          <w:tcPr>
            <w:tcW w:w="1604" w:type="dxa"/>
            <w:vAlign w:val="center"/>
          </w:tcPr>
          <w:p w14:paraId="3346A8B6">
            <w:pPr>
              <w:adjustRightInd w:val="0"/>
              <w:snapToGrid w:val="0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906" w:type="dxa"/>
            <w:vAlign w:val="center"/>
          </w:tcPr>
          <w:p w14:paraId="113409A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gridSpan w:val="2"/>
            <w:vAlign w:val="center"/>
          </w:tcPr>
          <w:p w14:paraId="65215C0D">
            <w:pPr>
              <w:adjustRightInd w:val="0"/>
              <w:snapToGrid w:val="0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30" w:type="dxa"/>
            <w:vAlign w:val="center"/>
          </w:tcPr>
          <w:p w14:paraId="0026049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3C1137">
      <w:pPr>
        <w:spacing w:line="240" w:lineRule="exact"/>
        <w:rPr>
          <w:rFonts w:ascii="宋体" w:hAnsi="宋体"/>
          <w:sz w:val="24"/>
        </w:rPr>
      </w:pPr>
    </w:p>
    <w:p w14:paraId="0DC25A96">
      <w:pPr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一、</w:t>
      </w:r>
      <w:r>
        <w:rPr>
          <w:rFonts w:hint="eastAsia" w:asciiTheme="minorEastAsia" w:hAnsiTheme="minorEastAsia" w:eastAsiaTheme="minorEastAsia"/>
          <w:b/>
          <w:sz w:val="24"/>
        </w:rPr>
        <w:t>报告类别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 w14:paraId="3404FCAF">
      <w:pPr>
        <w:pStyle w:val="7"/>
        <w:rPr>
          <w:rFonts w:ascii="宋体" w:hAnsi="宋体" w:eastAsia="宋体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</w:rPr>
        <w:t>可疑且非预期</w:t>
      </w:r>
      <w:r>
        <w:rPr>
          <w:rFonts w:ascii="宋体" w:hAnsi="宋体" w:eastAsia="宋体"/>
          <w:sz w:val="24"/>
          <w:szCs w:val="24"/>
        </w:rPr>
        <w:t>严重不良</w:t>
      </w:r>
      <w:r>
        <w:rPr>
          <w:rFonts w:hint="eastAsia" w:ascii="宋体" w:hAnsi="宋体" w:eastAsia="宋体"/>
          <w:sz w:val="24"/>
          <w:szCs w:val="24"/>
        </w:rPr>
        <w:t>反应（SUSAR）</w:t>
      </w:r>
    </w:p>
    <w:p w14:paraId="2CA453DD">
      <w:pPr>
        <w:pStyle w:val="7"/>
        <w:rPr>
          <w:rFonts w:ascii="宋体" w:hAnsi="宋体" w:eastAsia="宋体"/>
          <w:sz w:val="24"/>
          <w:szCs w:val="24"/>
        </w:rPr>
      </w:pPr>
      <w:bookmarkStart w:id="0" w:name="OLE_LINK12"/>
      <w:bookmarkStart w:id="1" w:name="OLE_LINK11"/>
      <w:bookmarkStart w:id="2" w:name="OLE_LINK10"/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</w:rPr>
        <w:t>定期安全性</w:t>
      </w:r>
      <w:r>
        <w:rPr>
          <w:rFonts w:ascii="宋体" w:hAnsi="宋体" w:eastAsia="宋体"/>
          <w:sz w:val="24"/>
          <w:szCs w:val="24"/>
        </w:rPr>
        <w:t>信息更新报告</w:t>
      </w:r>
      <w:bookmarkEnd w:id="0"/>
      <w:bookmarkEnd w:id="1"/>
      <w:bookmarkEnd w:id="2"/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DSUR</w:t>
      </w:r>
      <w:r>
        <w:rPr>
          <w:rFonts w:hint="eastAsia" w:ascii="宋体" w:hAnsi="宋体" w:eastAsia="宋体"/>
          <w:sz w:val="24"/>
          <w:szCs w:val="24"/>
        </w:rPr>
        <w:t>、P</w:t>
      </w:r>
      <w:r>
        <w:rPr>
          <w:rFonts w:ascii="宋体" w:hAnsi="宋体" w:eastAsia="宋体"/>
          <w:sz w:val="24"/>
          <w:szCs w:val="24"/>
        </w:rPr>
        <w:t>SUR</w:t>
      </w:r>
      <w:r>
        <w:rPr>
          <w:rFonts w:hint="eastAsia" w:ascii="宋体" w:hAnsi="宋体" w:eastAsia="宋体"/>
          <w:sz w:val="24"/>
          <w:szCs w:val="24"/>
        </w:rPr>
        <w:t>等）</w:t>
      </w:r>
    </w:p>
    <w:p w14:paraId="5F01B096">
      <w:pPr>
        <w:pStyle w:val="7"/>
        <w:rPr>
          <w:rFonts w:hint="eastAsia" w:ascii="宋体" w:hAnsi="宋体" w:eastAsia="宋体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</w:rPr>
        <w:t>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他</w:t>
      </w:r>
      <w:r>
        <w:rPr>
          <w:rFonts w:ascii="宋体" w:hAnsi="宋体" w:eastAsia="宋体"/>
          <w:sz w:val="24"/>
          <w:szCs w:val="24"/>
        </w:rPr>
        <w:t>和试验相关的安全</w:t>
      </w:r>
      <w:r>
        <w:rPr>
          <w:rFonts w:hint="eastAsia" w:ascii="宋体" w:hAnsi="宋体" w:eastAsia="宋体"/>
          <w:sz w:val="24"/>
          <w:szCs w:val="24"/>
        </w:rPr>
        <w:t>性报告：</w:t>
      </w:r>
    </w:p>
    <w:p w14:paraId="74A8592F">
      <w:pPr>
        <w:pStyle w:val="7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严重不良事件（SAE）：</w:t>
      </w:r>
    </w:p>
    <w:p w14:paraId="2BEEA3C1">
      <w:pPr>
        <w:pStyle w:val="7"/>
        <w:numPr>
          <w:ilvl w:val="0"/>
          <w:numId w:val="0"/>
        </w:numPr>
        <w:ind w:firstLine="720" w:firstLineChars="3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cs="黑体" w:asciiTheme="minorEastAsia" w:hAnsiTheme="minorEastAsia" w:eastAsiaTheme="minorEastAsia"/>
          <w:kern w:val="2"/>
          <w:sz w:val="24"/>
          <w:szCs w:val="24"/>
          <w:lang w:val="en-US" w:eastAsia="zh-CN"/>
        </w:rPr>
        <w:t>1.</w:t>
      </w:r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本中心，</w:t>
      </w:r>
      <w:r>
        <w:rPr>
          <w:rFonts w:hint="eastAsia" w:cs="黑体" w:asciiTheme="minorEastAsia" w:hAnsiTheme="minorEastAsia" w:eastAsiaTheme="minorEastAsia"/>
          <w:kern w:val="2"/>
          <w:sz w:val="24"/>
          <w:szCs w:val="24"/>
        </w:rPr>
        <w:t>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其他中心</w:t>
      </w:r>
    </w:p>
    <w:p w14:paraId="563957F8">
      <w:pPr>
        <w:pStyle w:val="7"/>
        <w:numPr>
          <w:ilvl w:val="0"/>
          <w:numId w:val="0"/>
        </w:numPr>
        <w:ind w:firstLine="720" w:firstLineChars="300"/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与研究干预相关性的判断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：□相关，□不相关，□无法判断</w:t>
      </w:r>
    </w:p>
    <w:p w14:paraId="6974F7AE">
      <w:pPr>
        <w:pStyle w:val="7"/>
        <w:numPr>
          <w:ilvl w:val="0"/>
          <w:numId w:val="0"/>
        </w:numPr>
        <w:ind w:firstLine="720" w:firstLineChars="3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是否预期的判断：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预期，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非预期</w:t>
      </w:r>
    </w:p>
    <w:p w14:paraId="671804AD">
      <w:pPr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二、</w:t>
      </w:r>
      <w:r>
        <w:rPr>
          <w:rFonts w:hint="eastAsia" w:asciiTheme="minorEastAsia" w:hAnsiTheme="minorEastAsia" w:eastAsiaTheme="minorEastAsia"/>
          <w:b/>
          <w:sz w:val="24"/>
        </w:rPr>
        <w:t>报告内容概要</w:t>
      </w:r>
    </w:p>
    <w:p w14:paraId="59430FEE"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sz w:val="24"/>
        </w:rPr>
      </w:pPr>
    </w:p>
    <w:p w14:paraId="4F85C96F"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sz w:val="24"/>
        </w:rPr>
      </w:pPr>
    </w:p>
    <w:p w14:paraId="687692D1">
      <w:pPr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三、</w:t>
      </w:r>
      <w:r>
        <w:rPr>
          <w:rFonts w:hint="eastAsia" w:asciiTheme="minorEastAsia" w:hAnsiTheme="minorEastAsia" w:eastAsiaTheme="minorEastAsia"/>
          <w:b/>
          <w:sz w:val="24"/>
        </w:rPr>
        <w:t>报告具体内容评价</w:t>
      </w:r>
    </w:p>
    <w:p w14:paraId="6B91A34A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asciiTheme="minorEastAsia" w:hAnsiTheme="minorEastAsia" w:eastAsiaTheme="minorEastAsia"/>
          <w:sz w:val="24"/>
        </w:rPr>
        <w:t>是否对研究的风险及受益产生影响：□否，□不适用，□是→若可能产生影响，</w:t>
      </w:r>
    </w:p>
    <w:p w14:paraId="235ACD92">
      <w:pPr>
        <w:pStyle w:val="7"/>
        <w:numPr>
          <w:ilvl w:val="0"/>
          <w:numId w:val="0"/>
        </w:numPr>
        <w:spacing w:after="0"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本中心主要研究者拟采取的措施：</w:t>
      </w:r>
    </w:p>
    <w:p w14:paraId="13CE676D">
      <w:pPr>
        <w:spacing w:line="360" w:lineRule="auto"/>
        <w:rPr>
          <w:rFonts w:hint="eastAsia" w:asciiTheme="minorEastAsia" w:hAnsiTheme="minorEastAsia" w:eastAsiaTheme="minorEastAsia"/>
          <w:sz w:val="24"/>
        </w:rPr>
      </w:pPr>
    </w:p>
    <w:p w14:paraId="51AA800F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asciiTheme="minorEastAsia" w:hAnsiTheme="minorEastAsia" w:eastAsiaTheme="minorEastAsia"/>
          <w:sz w:val="24"/>
        </w:rPr>
        <w:t>所报告的安全性事件是否有足够的证据证明增加了</w:t>
      </w:r>
      <w:r>
        <w:rPr>
          <w:rFonts w:hint="eastAsia" w:asciiTheme="minorEastAsia" w:hAnsiTheme="minorEastAsia" w:eastAsiaTheme="minorEastAsia"/>
          <w:sz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sz w:val="24"/>
        </w:rPr>
        <w:t>的风险：□否，□不适用，□是→进行解释</w:t>
      </w:r>
    </w:p>
    <w:p w14:paraId="652FB1A0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bookmarkStart w:id="3" w:name="_Hlk155263683"/>
      <w:r>
        <w:rPr>
          <w:rFonts w:hint="eastAsia" w:asciiTheme="minorEastAsia" w:hAnsiTheme="minorEastAsia" w:eastAsiaTheme="minorEastAsia"/>
          <w:sz w:val="24"/>
        </w:rPr>
        <w:t>·试验相关损害</w:t>
      </w:r>
      <w:r>
        <w:rPr>
          <w:rFonts w:hint="eastAsia" w:asciiTheme="minorEastAsia" w:hAnsiTheme="minorEastAsia" w:eastAsiaTheme="minorEastAsia"/>
          <w:sz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sz w:val="24"/>
        </w:rPr>
        <w:t>的后续医疗与随访安排是否合适：□是，□不适用，□否→进行解释</w:t>
      </w:r>
    </w:p>
    <w:p w14:paraId="43BB612B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·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是</w:t>
      </w:r>
      <w:r>
        <w:rPr>
          <w:rFonts w:hint="eastAsia" w:asciiTheme="minorEastAsia" w:hAnsiTheme="minorEastAsia" w:eastAsiaTheme="minorEastAsia"/>
          <w:sz w:val="24"/>
        </w:rPr>
        <w:t>否存在可能影响</w:t>
      </w:r>
      <w:r>
        <w:rPr>
          <w:rFonts w:hint="eastAsia" w:asciiTheme="minorEastAsia" w:hAnsiTheme="minorEastAsia" w:eastAsiaTheme="minorEastAsia"/>
          <w:sz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sz w:val="24"/>
        </w:rPr>
        <w:t>继续参与研究意愿的新信息：□是，□否，□不适用</w:t>
      </w:r>
    </w:p>
    <w:bookmarkEnd w:id="3"/>
    <w:p w14:paraId="35A7289A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·所报告的安全性事件是否有足够证据证明显著影响临床研究的实施：□否，□不适用，□是→进行解释</w:t>
      </w:r>
    </w:p>
    <w:p w14:paraId="0C904286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·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是</w:t>
      </w:r>
      <w:r>
        <w:rPr>
          <w:rFonts w:hint="eastAsia" w:asciiTheme="minorEastAsia" w:hAnsiTheme="minorEastAsia" w:eastAsiaTheme="minorEastAsia"/>
          <w:sz w:val="24"/>
        </w:rPr>
        <w:t>否已更新方案：□是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□否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□计划更新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□无需更新</w:t>
      </w:r>
    </w:p>
    <w:p w14:paraId="3A5DAF27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·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是</w:t>
      </w:r>
      <w:r>
        <w:rPr>
          <w:rFonts w:hint="eastAsia" w:asciiTheme="minorEastAsia" w:hAnsiTheme="minorEastAsia" w:eastAsiaTheme="minorEastAsia"/>
          <w:sz w:val="24"/>
        </w:rPr>
        <w:t>否已更新知情同意书：□是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□否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□计划更新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/>
          <w:sz w:val="24"/>
        </w:rPr>
        <w:t>□无需更新</w:t>
      </w:r>
    </w:p>
    <w:p w14:paraId="111EBFFF">
      <w:pPr>
        <w:pStyle w:val="7"/>
        <w:numPr>
          <w:ilvl w:val="0"/>
          <w:numId w:val="0"/>
        </w:num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·是否有必要重新获取知情同意：□是，□否，□不适用</w:t>
      </w:r>
    </w:p>
    <w:tbl>
      <w:tblPr>
        <w:tblStyle w:val="4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355"/>
        <w:gridCol w:w="2177"/>
        <w:gridCol w:w="2178"/>
        <w:gridCol w:w="2320"/>
      </w:tblGrid>
      <w:tr w14:paraId="53118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55" w:type="dxa"/>
            <w:vAlign w:val="center"/>
          </w:tcPr>
          <w:p w14:paraId="5AC5F58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研究者签字</w:t>
            </w:r>
          </w:p>
        </w:tc>
        <w:tc>
          <w:tcPr>
            <w:tcW w:w="2177" w:type="dxa"/>
            <w:vAlign w:val="center"/>
          </w:tcPr>
          <w:p w14:paraId="3ECDEA7D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78" w:type="dxa"/>
            <w:vAlign w:val="center"/>
          </w:tcPr>
          <w:p w14:paraId="483C5BE7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日期</w:t>
            </w:r>
          </w:p>
        </w:tc>
        <w:tc>
          <w:tcPr>
            <w:tcW w:w="2320" w:type="dxa"/>
            <w:vAlign w:val="center"/>
          </w:tcPr>
          <w:p w14:paraId="18E2A852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 w14:paraId="6A418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94501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0" b="0"/>
              <wp:wrapNone/>
              <wp:docPr id="2009016973" name="Quad Arrow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DFE0A9">
                          <w:pPr>
                            <w:snapToGrid w:val="0"/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 Arrow 2" o:spid="_x0000_s1026" o:spt="202" type="#_x0000_t202" style="position:absolute;left:0pt;margin-top:0pt;height:11.65pt;width:6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0N5RNIAAAAEAQAADwAAAAAAAAABACAAAAAiAAAAZHJzL2Rvd25y&#10;ZXYueG1sUEsBAhQAFAAAAAgAh07iQLJ6ILMEAgAADAQAAA4AAAAAAAAAAQAgAAAAIQ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DFE0A9">
                    <w:pPr>
                      <w:snapToGrid w:val="0"/>
                      <w:rPr>
                        <w:rFonts w:ascii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18"/>
                      </w:rPr>
                      <w:t xml:space="preserve">/ </w:t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宋体" w:hAnsi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启用日期：2025年8月15</w:t>
    </w:r>
    <w:bookmarkStart w:id="4" w:name="_GoBack"/>
    <w:bookmarkEnd w:id="4"/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997B1">
    <w:pPr>
      <w:pStyle w:val="3"/>
      <w:pBdr>
        <w:bottom w:val="single" w:color="auto" w:sz="4" w:space="1"/>
      </w:pBdr>
      <w:jc w:val="right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 xml:space="preserve">    </w:t>
    </w:r>
  </w:p>
  <w:p w14:paraId="59202164">
    <w:pPr>
      <w:pStyle w:val="3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highlight w:val="none"/>
        <w:lang w:val="en-US" w:eastAsia="zh-CN"/>
      </w:rPr>
      <w:t xml:space="preserve">安全性报告                                                           </w:t>
    </w:r>
    <w:r>
      <w:rPr>
        <w:rFonts w:hint="eastAsia" w:ascii="宋体" w:hAnsi="宋体"/>
        <w:sz w:val="21"/>
        <w:szCs w:val="21"/>
        <w:highlight w:val="none"/>
        <w:lang w:eastAsia="zh-CN"/>
      </w:rPr>
      <w:t>EC</w:t>
    </w:r>
    <w:r>
      <w:rPr>
        <w:rFonts w:hint="eastAsia" w:ascii="宋体" w:hAnsi="宋体"/>
        <w:sz w:val="21"/>
        <w:szCs w:val="21"/>
        <w:highlight w:val="none"/>
      </w:rPr>
      <w:t>-AF-</w:t>
    </w:r>
    <w:r>
      <w:rPr>
        <w:rFonts w:hint="eastAsia" w:ascii="宋体" w:hAnsi="宋体"/>
        <w:sz w:val="21"/>
        <w:szCs w:val="21"/>
        <w:highlight w:val="none"/>
        <w:lang w:val="en-US" w:eastAsia="zh-CN"/>
      </w:rPr>
      <w:t>01.05</w:t>
    </w:r>
    <w:r>
      <w:rPr>
        <w:rFonts w:hint="eastAsia" w:ascii="宋体" w:hAnsi="宋体"/>
        <w:sz w:val="21"/>
        <w:szCs w:val="21"/>
        <w:highlight w:val="none"/>
      </w:rPr>
      <w:t>-</w:t>
    </w:r>
    <w:r>
      <w:rPr>
        <w:rFonts w:hint="eastAsia" w:ascii="宋体" w:hAnsi="宋体"/>
        <w:sz w:val="21"/>
        <w:szCs w:val="21"/>
        <w:highlight w:val="none"/>
        <w:lang w:val="en-US" w:eastAsia="zh-CN"/>
      </w:rPr>
      <w:t>04.2</w:t>
    </w:r>
    <w:r>
      <w:rPr>
        <w:rFonts w:hint="eastAsia" w:ascii="宋体" w:hAnsi="宋体"/>
        <w:sz w:val="21"/>
        <w:szCs w:val="21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MzNmMzcxZmQ2ZDE0NGFkN2VhM2Y5ZDUwZjI2OWIifQ=="/>
  </w:docVars>
  <w:rsids>
    <w:rsidRoot w:val="19C46DBF"/>
    <w:rsid w:val="000744EC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01F3D"/>
    <w:rsid w:val="00312BAF"/>
    <w:rsid w:val="003345CB"/>
    <w:rsid w:val="00367155"/>
    <w:rsid w:val="003D4183"/>
    <w:rsid w:val="00471010"/>
    <w:rsid w:val="004B1A3E"/>
    <w:rsid w:val="004F2EDD"/>
    <w:rsid w:val="005118CD"/>
    <w:rsid w:val="006014C8"/>
    <w:rsid w:val="00654D34"/>
    <w:rsid w:val="006A50CA"/>
    <w:rsid w:val="006F022F"/>
    <w:rsid w:val="00762D6E"/>
    <w:rsid w:val="00764343"/>
    <w:rsid w:val="007F1A71"/>
    <w:rsid w:val="007F3B72"/>
    <w:rsid w:val="008E2FB9"/>
    <w:rsid w:val="00947488"/>
    <w:rsid w:val="0099795A"/>
    <w:rsid w:val="009B6E89"/>
    <w:rsid w:val="00A209EE"/>
    <w:rsid w:val="00A6265C"/>
    <w:rsid w:val="00A91802"/>
    <w:rsid w:val="00B219A4"/>
    <w:rsid w:val="00B26A48"/>
    <w:rsid w:val="00B87EE0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E3F4A5C"/>
    <w:rsid w:val="183F2350"/>
    <w:rsid w:val="190A4276"/>
    <w:rsid w:val="19392689"/>
    <w:rsid w:val="19C46DBF"/>
    <w:rsid w:val="1C626EFC"/>
    <w:rsid w:val="20F704ED"/>
    <w:rsid w:val="2178014E"/>
    <w:rsid w:val="217C61A3"/>
    <w:rsid w:val="23D34643"/>
    <w:rsid w:val="2461229F"/>
    <w:rsid w:val="24F35397"/>
    <w:rsid w:val="2588597C"/>
    <w:rsid w:val="27D00E09"/>
    <w:rsid w:val="282A5659"/>
    <w:rsid w:val="29885D61"/>
    <w:rsid w:val="2A20466E"/>
    <w:rsid w:val="2BA44D7C"/>
    <w:rsid w:val="2D763E61"/>
    <w:rsid w:val="32320D60"/>
    <w:rsid w:val="32731F5B"/>
    <w:rsid w:val="348802E3"/>
    <w:rsid w:val="358C196E"/>
    <w:rsid w:val="39B24505"/>
    <w:rsid w:val="3DE123EA"/>
    <w:rsid w:val="43D21BB5"/>
    <w:rsid w:val="443C17FF"/>
    <w:rsid w:val="46AE307C"/>
    <w:rsid w:val="48D85F7C"/>
    <w:rsid w:val="497D01C8"/>
    <w:rsid w:val="4AC5582F"/>
    <w:rsid w:val="4B5445D4"/>
    <w:rsid w:val="4BC3317A"/>
    <w:rsid w:val="4BF11154"/>
    <w:rsid w:val="4C874C0B"/>
    <w:rsid w:val="4DE52CA8"/>
    <w:rsid w:val="4FD063BE"/>
    <w:rsid w:val="587326B2"/>
    <w:rsid w:val="61D31C67"/>
    <w:rsid w:val="6230436E"/>
    <w:rsid w:val="65D22625"/>
    <w:rsid w:val="6EBC6255"/>
    <w:rsid w:val="73743AB1"/>
    <w:rsid w:val="750871F8"/>
    <w:rsid w:val="797A43A6"/>
    <w:rsid w:val="7A133CDD"/>
    <w:rsid w:val="7D1540A5"/>
    <w:rsid w:val="7E7B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486</Words>
  <Characters>501</Characters>
  <Lines>3</Lines>
  <Paragraphs>1</Paragraphs>
  <TotalTime>4</TotalTime>
  <ScaleCrop>false</ScaleCrop>
  <LinksUpToDate>false</LinksUpToDate>
  <CharactersWithSpaces>516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2024-01-04T03:28:00Z</dcterms:created>
  <dc:creator>Administrator</dc:creator>
  <cp:lastModifiedBy>majunjun</cp:lastModifiedBy>
  <cp:lastPrinted>2024-03-07T00:05:00Z</cp:lastPrinted>
  <dcterms:modified xsi:type="dcterms:W3CDTF">2025-08-15T06:27:07Z</dcterms:modified>
  <dc:title>严重不良事件报告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B2DFFD743ADE4DACB65D394499A1B46B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